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WHO Prequalification (PQ) Program:</w:t>
      </w:r>
    </w:p>
    <w:p w:rsidR="00000000" w:rsidDel="00000000" w:rsidP="00000000" w:rsidRDefault="00000000" w:rsidRPr="00000000" w14:paraId="00000002">
      <w:pPr>
        <w:pStyle w:val="Title"/>
        <w:jc w:val="right"/>
        <w:rPr/>
      </w:pPr>
      <w:r w:rsidDel="00000000" w:rsidR="00000000" w:rsidRPr="00000000">
        <w:rPr>
          <w:rtl w:val="0"/>
        </w:rPr>
        <w:t xml:space="preserve">Requirements &amp; Practical Insights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36609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Potential Gains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In-depth understanding of the WHO Prequalification (PQ) Program and regulatory requirements.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Insights on challenges in obtaining WHO PQ approval and strategies to navigate them.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 case studies and learnings from medical device and diagnostics startups.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Opportunities for startups to expand access to low- and middle-income countries (LMICs) through WHO PQ.</w:t>
      </w:r>
    </w:p>
    <w:p w:rsidR="00000000" w:rsidDel="00000000" w:rsidP="00000000" w:rsidRDefault="00000000" w:rsidRPr="00000000" w14:paraId="0000000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Stage of Startup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Startups in the process of product development or manufacturing.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commercial-stage startups preparing for regulatory submissions.</w:t>
      </w:r>
    </w:p>
    <w:p w:rsidR="00000000" w:rsidDel="00000000" w:rsidP="00000000" w:rsidRDefault="00000000" w:rsidRPr="00000000" w14:paraId="0000000C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Organized by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RIFC@VC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Innovations @ Venture Center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BFI-BIOME Networks</w:t>
      </w:r>
    </w:p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Supported by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Venture Center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Blockchain for Impact</w:t>
      </w:r>
    </w:p>
    <w:p w:rsidR="00000000" w:rsidDel="00000000" w:rsidP="00000000" w:rsidRDefault="00000000" w:rsidRPr="00000000" w14:paraId="0000001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 Whom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device &amp; diagnostics startups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device manufacturers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Suppliers to device manufacturers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Regulatory affairs professionals and consultants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Investors and incubators supporting healthcare innovations</w:t>
      </w:r>
    </w:p>
    <w:p w:rsidR="00000000" w:rsidDel="00000000" w:rsidP="00000000" w:rsidRDefault="00000000" w:rsidRPr="00000000" w14:paraId="0000001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When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13th December 2025</w:t>
      </w:r>
    </w:p>
    <w:p w:rsidR="00000000" w:rsidDel="00000000" w:rsidP="00000000" w:rsidRDefault="00000000" w:rsidRPr="00000000" w14:paraId="0000001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Where</w:t>
      </w:r>
    </w:p>
    <w:p w:rsidR="00000000" w:rsidDel="00000000" w:rsidP="00000000" w:rsidRDefault="00000000" w:rsidRPr="00000000" w14:paraId="0000001C">
      <w:pP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@Venture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Proposed Agenda</w:t>
      </w:r>
    </w:p>
    <w:tbl>
      <w:tblPr>
        <w:tblStyle w:val="Table1"/>
        <w:tblW w:w="88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2280"/>
        <w:gridCol w:w="4785"/>
        <w:tblGridChange w:id="0">
          <w:tblGrid>
            <w:gridCol w:w="1785"/>
            <w:gridCol w:w="2280"/>
            <w:gridCol w:w="4785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10:00 – 10:15 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Registration &amp; Networking Tea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Welcome desk, informal networking.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10:15 – 10:30 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Welcome &amp; Opening Remarks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Introduction to the event theme, objectives, and participants.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10:30 – 11:15 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Keynote Session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Topic: “WHO PQ Program – A Gateway to Global Health Markets”</w:t>
              <w:br w:type="textWrapping"/>
              <w:t xml:space="preserve">- Delivered by WHO PQ expert / senior regulatory professional.</w:t>
              <w:br w:type="textWrapping"/>
              <w:t xml:space="preserve">- Covers PQ process, benefits, challenges, and updates.</w:t>
              <w:br w:type="textWrapping"/>
              <w:t xml:space="preserve">- Q&amp;A included.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11:15 – 11:30 AM | Tea / Coffee Break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11:30 – 12:15 PM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1: Blackfrog Perspectives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Theme: “Practical Insights and Challenges: Startup Experiences with WHO PQ”</w:t>
              <w:br w:type="textWrapping"/>
              <w:t xml:space="preserve">- Startup founders/representatives share their journey.</w:t>
              <w:br w:type="textWrapping"/>
              <w:t xml:space="preserve">- Moderator-led discussion on:</w:t>
              <w:br w:type="textWrapping"/>
              <w:t xml:space="preserve">   • Preparing documentation and quality systems for PQ</w:t>
              <w:br w:type="textWrapping"/>
              <w:t xml:space="preserve">   • Navigating funding and partnerships</w:t>
              <w:br w:type="textWrapping"/>
              <w:t xml:space="preserve">   • Common pitfalls and lessons learned</w:t>
              <w:br w:type="textWrapping"/>
              <w:t xml:space="preserve">- Audience Q&amp;A.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12:15 – 1:00 PM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2: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 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Theme: “Practical Insights and Challenges: Startup Experiences with WHO PQ”</w:t>
              <w:br w:type="textWrapping"/>
              <w:t xml:space="preserve">- Startup founders/representatives share their journey.</w:t>
              <w:br w:type="textWrapping"/>
              <w:t xml:space="preserve">- Moderator-led discussion on:</w:t>
              <w:br w:type="textWrapping"/>
              <w:t xml:space="preserve">   • Preparing documentation and quality systems for PQ</w:t>
              <w:br w:type="textWrapping"/>
              <w:t xml:space="preserve">   • Navigating funding and partnerships</w:t>
              <w:br w:type="textWrapping"/>
              <w:t xml:space="preserve">   • Common pitfalls and lessons learned</w:t>
              <w:br w:type="textWrapping"/>
              <w:t xml:space="preserve">- Audience Q&amp;A.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1:00 – 1:45 PM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Keynote Session 2: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Topic: “Leveraging WHO PQ for Market Access in LMICs”</w:t>
              <w:br w:type="textWrapping"/>
              <w:t xml:space="preserve">- Insights from donor agencies / procurement experts.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1:45 – 2:00 PM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Closing Remarks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Summary of key takeaways.</w:t>
              <w:br w:type="textWrapping"/>
              <w:t xml:space="preserve">- Future opportunities and next steps.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2:30 – 5:00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R-Clinic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Akash R. Dhade/Chetna Dharmawat</w:t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spacing w:before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Contact</w:t>
      </w:r>
    </w:p>
    <w:p w:rsidR="00000000" w:rsidDel="00000000" w:rsidP="00000000" w:rsidRDefault="00000000" w:rsidRPr="00000000" w14:paraId="0000003E">
      <w:pPr>
        <w:spacing w:after="0" w:lineRule="auto"/>
        <w:ind w:right="-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Technical queries: Akash R. Dhade | </w:t>
      </w: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akash.dhade@venturecenter.co.in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(9511903743)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Logistics queries: Nitruta Killedar | 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Niruta.killedar@venturecenter.co.in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(8956226080)</w:t>
      </w:r>
    </w:p>
    <w:p w:rsidR="00000000" w:rsidDel="00000000" w:rsidP="00000000" w:rsidRDefault="00000000" w:rsidRPr="00000000" w14:paraId="00000040">
      <w:pPr>
        <w:pStyle w:val="Heading2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Participants opting for one-on-one mentoring will be informed of their slot separately by email.</w:t>
      </w:r>
    </w:p>
    <w:sectPr>
      <w:headerReference r:id="rId9" w:type="default"/>
      <w:foot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2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c0504d"/>
        <w:sz w:val="22"/>
        <w:szCs w:val="22"/>
        <w:highlight w:val="white"/>
        <w:u w:val="none"/>
        <w:vertAlign w:val="baseline"/>
        <w:rtl w:val="0"/>
      </w:rPr>
      <w:t xml:space="preserve">The Regulatory Information and Facilitation Center (RIFC)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  <w:rtl w:val="0"/>
      </w:rPr>
      <w:t xml:space="preserve"> is joint initiative of the 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Venture Center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  <w:rtl w:val="0"/>
      </w:rPr>
      <w:t xml:space="preserve"> and 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BIRAC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  <w:rtl w:val="0"/>
      </w:rPr>
      <w:t xml:space="preserve"> under the 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BIRAC Regional Bio-Innovation Center (BRBC)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  <w:rtl w:val="0"/>
      </w:rPr>
      <w:t xml:space="preserve"> program.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22"/>
        <w:szCs w:val="22"/>
        <w:highlight w:val="white"/>
        <w:u w:val="none"/>
        <w:vertAlign w:val="baseline"/>
        <w:rtl w:val="0"/>
      </w:rPr>
      <w:t xml:space="preserve">                                                  Website: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highlight w:val="white"/>
          <w:u w:val="single"/>
          <w:vertAlign w:val="baseline"/>
          <w:rtl w:val="0"/>
        </w:rPr>
        <w:t xml:space="preserve">http://rifc.venturecenter.co.in/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spacing w:after="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2386013</wp:posOffset>
          </wp:positionH>
          <wp:positionV relativeFrom="paragraph">
            <wp:posOffset>-9524</wp:posOffset>
          </wp:positionV>
          <wp:extent cx="619125" cy="619125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4626769</wp:posOffset>
          </wp:positionH>
          <wp:positionV relativeFrom="paragraph">
            <wp:posOffset>-9524</wp:posOffset>
          </wp:positionV>
          <wp:extent cx="1640681" cy="619125"/>
          <wp:effectExtent b="0" l="0" r="0" t="0"/>
          <wp:wrapTopAndBottom distB="114300" distT="114300"/>
          <wp:docPr id="1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0681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66675</wp:posOffset>
          </wp:positionV>
          <wp:extent cx="1520687" cy="457200"/>
          <wp:effectExtent b="0" l="0" r="0" t="0"/>
          <wp:wrapNone/>
          <wp:docPr descr="C:\Users\Lipika\Desktop\logos\Venture Center logo.jpg" id="10" name="image4.jpg"/>
          <a:graphic>
            <a:graphicData uri="http://schemas.openxmlformats.org/drawingml/2006/picture">
              <pic:pic>
                <pic:nvPicPr>
                  <pic:cNvPr descr="C:\Users\Lipika\Desktop\logos\Venture Center logo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0687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3171825</wp:posOffset>
          </wp:positionH>
          <wp:positionV relativeFrom="paragraph">
            <wp:posOffset>28576</wp:posOffset>
          </wp:positionV>
          <wp:extent cx="1456038" cy="53340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6038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66675</wp:posOffset>
          </wp:positionV>
          <wp:extent cx="1282390" cy="457200"/>
          <wp:effectExtent b="0" l="0" r="0" t="0"/>
          <wp:wrapNone/>
          <wp:docPr descr="C:\Users\Lipika\Desktop\logos\RIFC.png" id="13" name="image2.png"/>
          <a:graphic>
            <a:graphicData uri="http://schemas.openxmlformats.org/drawingml/2006/picture">
              <pic:pic>
                <pic:nvPicPr>
                  <pic:cNvPr descr="C:\Users\Lipika\Desktop\logos\RIFC.png" id="0" name="image2.png"/>
                  <pic:cNvPicPr preferRelativeResize="0"/>
                </pic:nvPicPr>
                <pic:blipFill>
                  <a:blip r:embed="rId5"/>
                  <a:srcRect b="0" l="0" r="65556" t="0"/>
                  <a:stretch>
                    <a:fillRect/>
                  </a:stretch>
                </pic:blipFill>
                <pic:spPr>
                  <a:xfrm>
                    <a:off x="0" y="0"/>
                    <a:ext cx="128239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1EB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1EB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6B1EB0"/>
    <w:rPr>
      <w:color w:val="0000ff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kash.dhade@venturecenter.co.in" TargetMode="External"/><Relationship Id="rId8" Type="http://schemas.openxmlformats.org/officeDocument/2006/relationships/hyperlink" Target="mailto:Niruta.killedar@venturecenter.co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rifc.venturecenter.co.in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4.jpg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0TfnZMKe90dXfmbEFMoiC9m4gg==">CgMxLjA4AGonChRzdWdnZXN0LmRsMXEzaGhhanZ6ZxIPQWlzaHdhcnlhIFZhcnBlciExSXVUNkQtcjdCejhjY1NqVGVlZFE5OERLNjJjc1VhRmQ=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